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szCs w:val="24"/>
          <w:rtl w:val="0"/>
          <w:lang w:val="en-US"/>
        </w:rPr>
        <w:t>Research Reveals Design Opportunities for HVAC Systems and Heat Pumps</w:t>
      </w:r>
    </w:p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Studies find small-diameter copper tube reduces weight and volume of heat exchangers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 xml:space="preserve">Heat exchanger manufacturers can reduce material costs while maintaining optimal performance by using small diameter copper tube 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≤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 xml:space="preserve">5mm in diameter, also known as Microgroove 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™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. New research from Optimized Thermal Systems, Inc. (OTS) revealed increased possibilities for small-diameter copper tube provide equal performance to microchannel designs with a significant lower refrigerant charge.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“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This research gives heat exchange designers and manufacturers new opportunities for improving the form factor of HVAC heat exchangers and heat pump systems,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 xml:space="preserve">” 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 xml:space="preserve">said Dale Powell, project manager and piping application specialist at the Copper Development Association (CDA). 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“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The OTS studies demonstrate that small-diameter copper tube provides opportunities to reduce weight and volume at the source for better performance. New manufacturing processes take advantage of copper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’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s superior malleability to allow for an increase in shapes, sizes, and general configurations to meet the demands of future heat exchanger designs.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”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OTS found significant reductions in internal tube volume over the baseline. The best five-millimeter design provided a reduction in internal tube volume of 41 percent and a 57 percent reduction in coil footprint. The best four-millimeter design provided an internal tube volume reduction of 62 percent and a coil footprint reduction of 68 percent. The best three-millimeter design provided an internal tube volume reduction of 78 percent and a coil footprint reduction of 81 percent.</w:t>
      </w:r>
    </w:p>
    <w:tbl>
      <w:tblPr>
        <w:tblStyle w:val="2"/>
        <w:tblW w:w="96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</w:tblPrEx>
        <w:trPr>
          <w:trHeight w:val="1205" w:hRule="atLeast"/>
        </w:trPr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Tube Diameter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Internal Volume Reduction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Footprint Reduction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Tube Material Reduction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Fin Material Reduction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5 mm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41%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57%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61%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68%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4 mm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62%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68%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74%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58%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bidi w:val="0"/>
              <w:spacing w:after="15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outline w:val="0"/>
                <w:color w:val="333333"/>
                <w:sz w:val="24"/>
                <w:szCs w:val="24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3 mm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78%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81%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79%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150" w:line="400" w:lineRule="atLeast"/>
              <w:ind w:left="0" w:right="0" w:firstLine="0"/>
              <w:jc w:val="right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  <w14:textOutline w14:w="0" w14:cap="flat">
                  <w14:solidFill>
                    <w14:srgbClr w14:val="333333"/>
                  </w14:solidFill>
                  <w14:prstDash w14:val="solid"/>
                  <w14:miter w14:val="400000"/>
                </w14:textOutline>
              </w:rPr>
              <w:t>65%</w:t>
            </w:r>
          </w:p>
        </w:tc>
      </w:tr>
    </w:tbl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 xml:space="preserve">Using a heat exchanger design and simulation software tool, CoilDesigner 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®</w:t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en-US"/>
        </w:rPr>
        <w:t>, OTS evaluated the performance of various designs and conducted an optimization study using a multi-objective genetic algorithm. The primary objective of the project was to design a condenser coil that could provide equal performance to aluminum microchannel designs with a lower refrigerant charge, and to reduce the total footprint of the coil as well as the mass of the tube and fine material.</w:t>
      </w:r>
      <w:r>
        <w:rPr>
          <w:rFonts w:hint="eastAsia" w:ascii="微软雅黑" w:hAnsi="微软雅黑" w:eastAsia="微软雅黑" w:cs="微软雅黑"/>
          <w:sz w:val="24"/>
          <w:szCs w:val="24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"https://www.achrnews.com/articles/141389-research-reveals-design-opportunities-for-hvac-systems-and-heat-pumps"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  <w:rtl w:val="0"/>
          <w:lang w:val="zh-CN" w:eastAsia="zh-CN"/>
        </w:rPr>
        <w:t>https://www.achrnews.com/articles/141389-research-reveals-design-opportunities-for-hvac-systems-and-heat-pumps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T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0D13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  <w:style w:type="paragraph" w:customStyle="1" w:styleId="7">
    <w:name w:val="表格样式 2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2019-07-05T11:13:52Z</dcterms:created>
  <dc:creator>EDZ</dc:creator>
  <cp:lastModifiedBy>和路雪。</cp:lastModifiedBy>
  <dcterms:modified xsi:type="dcterms:W3CDTF">2019-07-05T11:14:10Z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